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5248" w14:textId="77777777" w:rsidR="00C569E3" w:rsidRPr="00C569E3" w:rsidRDefault="00C569E3">
      <w:pPr>
        <w:rPr>
          <w:rFonts w:ascii="NTPreCursivefk" w:hAnsi="NTPreCursivefk"/>
          <w:sz w:val="28"/>
        </w:rPr>
      </w:pPr>
    </w:p>
    <w:p w14:paraId="54496C32" w14:textId="77777777" w:rsidR="00C569E3" w:rsidRPr="00C569E3" w:rsidRDefault="00C569E3">
      <w:pPr>
        <w:rPr>
          <w:rFonts w:ascii="NTPreCursivefk" w:hAnsi="NTPreCursivefk"/>
          <w:sz w:val="28"/>
        </w:rPr>
      </w:pPr>
    </w:p>
    <w:p w14:paraId="1FC8A46A" w14:textId="77777777" w:rsidR="00C569E3" w:rsidRPr="00C569E3" w:rsidRDefault="00C569E3">
      <w:pPr>
        <w:rPr>
          <w:rFonts w:ascii="NTPreCursivefk" w:hAnsi="NTPreCursivefk"/>
          <w:sz w:val="28"/>
        </w:rPr>
      </w:pPr>
    </w:p>
    <w:p w14:paraId="6F583FB6" w14:textId="77777777" w:rsidR="00C569E3" w:rsidRPr="00C569E3" w:rsidRDefault="00C569E3">
      <w:pPr>
        <w:rPr>
          <w:rFonts w:ascii="NTPreCursivefk" w:hAnsi="NTPreCursivefk"/>
          <w:sz w:val="28"/>
        </w:rPr>
      </w:pPr>
    </w:p>
    <w:p w14:paraId="279114B7" w14:textId="77777777" w:rsidR="00C569E3" w:rsidRPr="00C569E3" w:rsidRDefault="00C569E3">
      <w:pPr>
        <w:rPr>
          <w:rFonts w:ascii="NTPreCursivefk" w:hAnsi="NTPreCursivefk"/>
          <w:sz w:val="28"/>
        </w:rPr>
      </w:pPr>
      <w:r w:rsidRPr="00C569E3">
        <w:rPr>
          <w:rFonts w:ascii="NTPreCursivefk" w:hAnsi="NTPreCursivefk"/>
          <w:sz w:val="28"/>
        </w:rPr>
        <w:t xml:space="preserve">Here at </w:t>
      </w:r>
      <w:proofErr w:type="spellStart"/>
      <w:r w:rsidRPr="00C569E3">
        <w:rPr>
          <w:rFonts w:ascii="NTPreCursivefk" w:hAnsi="NTPreCursivefk"/>
          <w:sz w:val="28"/>
        </w:rPr>
        <w:t>Towngate</w:t>
      </w:r>
      <w:proofErr w:type="spellEnd"/>
      <w:r w:rsidRPr="00C569E3">
        <w:rPr>
          <w:rFonts w:ascii="NTPreCursivefk" w:hAnsi="NTPreCursivefk"/>
          <w:sz w:val="28"/>
        </w:rPr>
        <w:t xml:space="preserve"> Academy, we recognise that the equality duty has three aims and they are to: </w:t>
      </w:r>
    </w:p>
    <w:p w14:paraId="03D48408" w14:textId="77777777" w:rsidR="00C569E3" w:rsidRPr="00C569E3" w:rsidRDefault="00C569E3">
      <w:pPr>
        <w:rPr>
          <w:rFonts w:ascii="NTPreCursivefk" w:hAnsi="NTPreCursivefk"/>
          <w:sz w:val="28"/>
        </w:rPr>
      </w:pP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Eliminate unlawful discrimination, harassment and victimisation and other conduct under the Act; </w:t>
      </w:r>
      <w:r>
        <w:rPr>
          <w:rFonts w:ascii="NTPreCursivefk" w:hAnsi="NTPreCursivefk"/>
          <w:sz w:val="28"/>
        </w:rPr>
        <w:br/>
      </w: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Advance equality of opportunity between people who share a protected characteristic and those who do not;</w:t>
      </w:r>
      <w:r>
        <w:rPr>
          <w:rFonts w:ascii="NTPreCursivefk" w:hAnsi="NTPreCursivefk"/>
          <w:sz w:val="28"/>
        </w:rPr>
        <w:br/>
      </w: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Foster good relations between people who have a shared characteristic and those who do not. </w:t>
      </w:r>
    </w:p>
    <w:p w14:paraId="0AD9C854" w14:textId="77777777" w:rsidR="00C569E3" w:rsidRPr="00C569E3" w:rsidRDefault="00C569E3" w:rsidP="00C569E3">
      <w:pPr>
        <w:jc w:val="both"/>
        <w:rPr>
          <w:rFonts w:ascii="NTPreCursivefk" w:hAnsi="NTPreCursivefk"/>
          <w:sz w:val="28"/>
        </w:rPr>
      </w:pPr>
    </w:p>
    <w:p w14:paraId="5FE6F270" w14:textId="77777777" w:rsidR="00C569E3" w:rsidRPr="00C569E3" w:rsidRDefault="00C569E3" w:rsidP="00C569E3">
      <w:pPr>
        <w:jc w:val="both"/>
        <w:rPr>
          <w:rFonts w:ascii="NTPreCursivefk" w:hAnsi="NTPreCursivefk"/>
          <w:sz w:val="28"/>
        </w:rPr>
      </w:pPr>
      <w:proofErr w:type="spellStart"/>
      <w:r w:rsidRPr="00C569E3">
        <w:rPr>
          <w:rFonts w:ascii="NTPreCursivefk" w:hAnsi="NTPreCursivefk"/>
          <w:sz w:val="28"/>
        </w:rPr>
        <w:t>Towngate</w:t>
      </w:r>
      <w:proofErr w:type="spellEnd"/>
      <w:r w:rsidRPr="00C569E3">
        <w:rPr>
          <w:rFonts w:ascii="NTPreCursivefk" w:hAnsi="NTPreCursivefk"/>
          <w:sz w:val="28"/>
        </w:rPr>
        <w:t xml:space="preserve"> Primary Academy will annually review alongside governance to analyse how well we achieve these aims </w:t>
      </w:r>
      <w:proofErr w:type="gramStart"/>
      <w:r w:rsidRPr="00C569E3">
        <w:rPr>
          <w:rFonts w:ascii="NTPreCursivefk" w:hAnsi="NTPreCursivefk"/>
          <w:sz w:val="28"/>
        </w:rPr>
        <w:t>with regard to</w:t>
      </w:r>
      <w:proofErr w:type="gramEnd"/>
      <w:r w:rsidRPr="00C569E3">
        <w:rPr>
          <w:rFonts w:ascii="NTPreCursivefk" w:hAnsi="NTPreCursivefk"/>
          <w:sz w:val="28"/>
        </w:rPr>
        <w:t xml:space="preserve"> the protected groups under the Equality Act (2010) (race, disability, gender, gender re-assignment, age, pregnancy and maternity, marital status, religion and belief and sexual orientation). We aim to provide the highest possible education for </w:t>
      </w:r>
      <w:proofErr w:type="gramStart"/>
      <w:r w:rsidRPr="00C569E3">
        <w:rPr>
          <w:rFonts w:ascii="NTPreCursivefk" w:hAnsi="NTPreCursivefk"/>
          <w:sz w:val="28"/>
        </w:rPr>
        <w:t>all of</w:t>
      </w:r>
      <w:proofErr w:type="gramEnd"/>
      <w:r w:rsidRPr="00C569E3">
        <w:rPr>
          <w:rFonts w:ascii="NTPreCursivefk" w:hAnsi="NTPreCursivefk"/>
          <w:sz w:val="28"/>
        </w:rPr>
        <w:t xml:space="preserve"> our students; the values</w:t>
      </w:r>
      <w:r w:rsidRPr="00C569E3">
        <w:rPr>
          <w:rFonts w:ascii="NTPreCursivefk" w:hAnsi="NTPreCursivefk"/>
          <w:sz w:val="28"/>
        </w:rPr>
        <w:t>-</w:t>
      </w:r>
      <w:r w:rsidRPr="00C569E3">
        <w:rPr>
          <w:rFonts w:ascii="NTPreCursivefk" w:hAnsi="NTPreCursivefk"/>
          <w:sz w:val="28"/>
        </w:rPr>
        <w:t xml:space="preserve">based ethos of our academy clearly reflects our commitment to fully including and respecting all members of our academy. </w:t>
      </w:r>
    </w:p>
    <w:p w14:paraId="39EFAE2C" w14:textId="77777777" w:rsidR="00C569E3" w:rsidRDefault="00C569E3" w:rsidP="00C569E3">
      <w:pPr>
        <w:jc w:val="both"/>
        <w:rPr>
          <w:rFonts w:ascii="NTPreCursivefk" w:hAnsi="NTPreCursivefk"/>
          <w:sz w:val="24"/>
        </w:rPr>
      </w:pPr>
    </w:p>
    <w:p w14:paraId="3AF98EA6" w14:textId="77777777" w:rsidR="00C569E3" w:rsidRPr="00C569E3" w:rsidRDefault="00C569E3" w:rsidP="00C569E3">
      <w:pPr>
        <w:jc w:val="both"/>
        <w:rPr>
          <w:rFonts w:ascii="NTPreCursivefk" w:hAnsi="NTPreCursivefk"/>
          <w:sz w:val="28"/>
        </w:rPr>
      </w:pPr>
      <w:r w:rsidRPr="00C569E3">
        <w:rPr>
          <w:rFonts w:ascii="NTPreCursivefk" w:hAnsi="NTPreCursivefk"/>
          <w:sz w:val="28"/>
        </w:rPr>
        <w:t xml:space="preserve">We have set ourselves the following objectives for </w:t>
      </w:r>
      <w:r w:rsidRPr="00C569E3">
        <w:rPr>
          <w:rFonts w:ascii="NTPreCursivefk" w:hAnsi="NTPreCursivefk"/>
          <w:sz w:val="28"/>
        </w:rPr>
        <w:t>2020/21</w:t>
      </w:r>
      <w:r w:rsidRPr="00C569E3">
        <w:rPr>
          <w:rFonts w:ascii="NTPreCursivefk" w:hAnsi="NTPreCursivefk"/>
          <w:sz w:val="28"/>
        </w:rPr>
        <w:t>:</w:t>
      </w:r>
    </w:p>
    <w:p w14:paraId="12E246C8" w14:textId="77777777" w:rsidR="00D14B15" w:rsidRPr="00C569E3" w:rsidRDefault="00C569E3" w:rsidP="00C569E3">
      <w:pPr>
        <w:rPr>
          <w:rFonts w:ascii="NTPreCursivefk" w:hAnsi="NTPreCursivefk"/>
          <w:sz w:val="28"/>
        </w:rPr>
      </w:pP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To ensure that staff and governors are aware of current legislation surrounding equality and diversity and understand the academies responsibility; </w:t>
      </w:r>
      <w:r w:rsidRPr="00C569E3">
        <w:rPr>
          <w:rFonts w:ascii="NTPreCursivefk" w:hAnsi="NTPreCursivefk"/>
          <w:sz w:val="28"/>
        </w:rPr>
        <w:br/>
      </w: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To promote mental health awareness and supporting staff and pupils to recognise indicat</w:t>
      </w:r>
      <w:r w:rsidRPr="00C569E3">
        <w:rPr>
          <w:rFonts w:ascii="NTPreCursivefk" w:hAnsi="NTPreCursivefk"/>
          <w:sz w:val="28"/>
        </w:rPr>
        <w:t>ors</w:t>
      </w:r>
      <w:r w:rsidRPr="00C569E3">
        <w:rPr>
          <w:rFonts w:ascii="NTPreCursivefk" w:hAnsi="NTPreCursivefk"/>
          <w:sz w:val="28"/>
        </w:rPr>
        <w:t xml:space="preserve"> of </w:t>
      </w:r>
      <w:r w:rsidRPr="00C569E3">
        <w:rPr>
          <w:rFonts w:ascii="NTPreCursivefk" w:hAnsi="NTPreCursivefk"/>
          <w:sz w:val="28"/>
        </w:rPr>
        <w:t>mental health support, d</w:t>
      </w:r>
      <w:r w:rsidRPr="00C569E3">
        <w:rPr>
          <w:rFonts w:ascii="NTPreCursivefk" w:hAnsi="NTPreCursivefk"/>
          <w:sz w:val="28"/>
        </w:rPr>
        <w:t xml:space="preserve">eveloping appropriate interventions where/if necessary. </w:t>
      </w:r>
      <w:r w:rsidRPr="00C569E3">
        <w:rPr>
          <w:rFonts w:ascii="NTPreCursivefk" w:hAnsi="NTPreCursivefk"/>
          <w:sz w:val="28"/>
        </w:rPr>
        <w:br/>
      </w: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Actively close gaps in attainment and achievement between students for all groups of students; especially students eligible for Pupil Premium; students with special educational needs and disabilities; looked after children and students from minority ethnic groups. </w:t>
      </w:r>
      <w:r w:rsidRPr="00C569E3">
        <w:rPr>
          <w:rFonts w:ascii="NTPreCursivefk" w:hAnsi="NTPreCursivefk"/>
          <w:sz w:val="28"/>
        </w:rPr>
        <w:br/>
      </w:r>
      <w:r w:rsidRPr="00C569E3">
        <w:rPr>
          <w:rFonts w:ascii="NTPreCursivefk" w:hAnsi="NTPreCursivefk"/>
          <w:sz w:val="28"/>
        </w:rPr>
        <w:sym w:font="Symbol" w:char="F0B7"/>
      </w:r>
      <w:r w:rsidRPr="00C569E3">
        <w:rPr>
          <w:rFonts w:ascii="NTPreCursivefk" w:hAnsi="NTPreCursivefk"/>
          <w:sz w:val="28"/>
        </w:rPr>
        <w:t xml:space="preserve"> To continuously review and revise the curriculum so that it represents a diverse culture and society and encourages tolerance and respect; focusing on highlighting where pr</w:t>
      </w:r>
      <w:bookmarkStart w:id="0" w:name="_GoBack"/>
      <w:bookmarkEnd w:id="0"/>
      <w:r w:rsidRPr="00C569E3">
        <w:rPr>
          <w:rFonts w:ascii="NTPreCursivefk" w:hAnsi="NTPreCursivefk"/>
          <w:sz w:val="28"/>
        </w:rPr>
        <w:t xml:space="preserve">otected characteristics are taught in each subject. For further information, please see our </w:t>
      </w:r>
      <w:r w:rsidRPr="00C569E3">
        <w:rPr>
          <w:rFonts w:ascii="NTPreCursivefk" w:hAnsi="NTPreCursivefk"/>
          <w:sz w:val="28"/>
        </w:rPr>
        <w:t xml:space="preserve">trust </w:t>
      </w:r>
      <w:r w:rsidRPr="00C569E3">
        <w:rPr>
          <w:rFonts w:ascii="NTPreCursivefk" w:hAnsi="NTPreCursivefk"/>
          <w:sz w:val="28"/>
        </w:rPr>
        <w:t xml:space="preserve">Equality </w:t>
      </w:r>
      <w:r w:rsidRPr="00C569E3">
        <w:rPr>
          <w:rFonts w:ascii="NTPreCursivefk" w:hAnsi="NTPreCursivefk"/>
          <w:sz w:val="28"/>
        </w:rPr>
        <w:t>and Diversity P</w:t>
      </w:r>
      <w:r w:rsidRPr="00C569E3">
        <w:rPr>
          <w:rFonts w:ascii="NTPreCursivefk" w:hAnsi="NTPreCursivefk"/>
          <w:sz w:val="28"/>
        </w:rPr>
        <w:t>olicy.</w:t>
      </w:r>
    </w:p>
    <w:sectPr w:rsidR="00D14B15" w:rsidRPr="00C569E3" w:rsidSect="00C569E3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2EF0" w14:textId="77777777" w:rsidR="00C569E3" w:rsidRDefault="00C569E3" w:rsidP="00C569E3">
      <w:pPr>
        <w:spacing w:after="0" w:line="240" w:lineRule="auto"/>
      </w:pPr>
      <w:r>
        <w:separator/>
      </w:r>
    </w:p>
  </w:endnote>
  <w:endnote w:type="continuationSeparator" w:id="0">
    <w:p w14:paraId="628DF48A" w14:textId="77777777" w:rsidR="00C569E3" w:rsidRDefault="00C569E3" w:rsidP="00C5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1F01" w14:textId="77777777" w:rsidR="00C569E3" w:rsidRDefault="00C569E3" w:rsidP="00C569E3">
      <w:pPr>
        <w:spacing w:after="0" w:line="240" w:lineRule="auto"/>
      </w:pPr>
      <w:r>
        <w:separator/>
      </w:r>
    </w:p>
  </w:footnote>
  <w:footnote w:type="continuationSeparator" w:id="0">
    <w:p w14:paraId="7633F17E" w14:textId="77777777" w:rsidR="00C569E3" w:rsidRDefault="00C569E3" w:rsidP="00C5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62D0" w14:textId="77777777" w:rsidR="00C569E3" w:rsidRPr="00C569E3" w:rsidRDefault="00C569E3" w:rsidP="00C569E3">
    <w:pPr>
      <w:pStyle w:val="Header"/>
      <w:jc w:val="center"/>
      <w:rPr>
        <w:rFonts w:ascii="NTPreCursivefk" w:hAnsi="NTPreCursivefk"/>
        <w:sz w:val="32"/>
        <w:u w:val="single"/>
      </w:rPr>
    </w:pPr>
    <w:r w:rsidRPr="00C569E3">
      <w:rPr>
        <w:rFonts w:ascii="NTPreCursivefk" w:hAnsi="NTPreCursivefk"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04BFDE15" wp14:editId="4FB770F1">
          <wp:simplePos x="0" y="0"/>
          <wp:positionH relativeFrom="margin">
            <wp:align>center</wp:align>
          </wp:positionH>
          <wp:positionV relativeFrom="paragraph">
            <wp:posOffset>464820</wp:posOffset>
          </wp:positionV>
          <wp:extent cx="876422" cy="87642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422" cy="876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9E3">
      <w:rPr>
        <w:rFonts w:ascii="NTPreCursivefk" w:hAnsi="NTPreCursivefk"/>
        <w:sz w:val="32"/>
        <w:u w:val="single"/>
      </w:rPr>
      <w:t>Equality and Objective statement 20</w:t>
    </w:r>
    <w:r w:rsidRPr="00C569E3">
      <w:rPr>
        <w:rFonts w:ascii="NTPreCursivefk" w:hAnsi="NTPreCursivefk"/>
        <w:sz w:val="32"/>
        <w:u w:val="single"/>
      </w:rPr>
      <w:t>20 - 2021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E3"/>
    <w:rsid w:val="00C569E3"/>
    <w:rsid w:val="00D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1ABD"/>
  <w15:chartTrackingRefBased/>
  <w15:docId w15:val="{1C5E51F0-7F60-475B-87FD-33236B93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E3"/>
  </w:style>
  <w:style w:type="paragraph" w:styleId="Footer">
    <w:name w:val="footer"/>
    <w:basedOn w:val="Normal"/>
    <w:link w:val="FooterChar"/>
    <w:uiPriority w:val="99"/>
    <w:unhideWhenUsed/>
    <w:rsid w:val="00C56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E3"/>
  </w:style>
  <w:style w:type="paragraph" w:styleId="ListParagraph">
    <w:name w:val="List Paragraph"/>
    <w:basedOn w:val="Normal"/>
    <w:uiPriority w:val="34"/>
    <w:qFormat/>
    <w:rsid w:val="00C5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Eke</dc:creator>
  <cp:keywords/>
  <dc:description/>
  <cp:lastModifiedBy>Laura Eke</cp:lastModifiedBy>
  <cp:revision>1</cp:revision>
  <dcterms:created xsi:type="dcterms:W3CDTF">2021-02-09T19:21:00Z</dcterms:created>
  <dcterms:modified xsi:type="dcterms:W3CDTF">2021-02-09T19:26:00Z</dcterms:modified>
</cp:coreProperties>
</file>